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6752CF" w:rsidP="00FD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FD200A" w:rsidRDefault="00A54338" w:rsidP="00FD20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плане работы Совета городского округа город Стерлитамак Республики Башкортостан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2021 год</w:t>
      </w: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 w:rsidR="00A54338" w:rsidRPr="00A54338">
        <w:rPr>
          <w:sz w:val="28"/>
        </w:rPr>
        <w:t xml:space="preserve">В соответствии со ст. 43 Федерального закона от 06.10.2003г.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Башкортостан, со </w:t>
      </w:r>
      <w:proofErr w:type="spellStart"/>
      <w:r w:rsidR="00A54338" w:rsidRPr="00A54338">
        <w:rPr>
          <w:sz w:val="28"/>
        </w:rPr>
        <w:t>ст.ст</w:t>
      </w:r>
      <w:proofErr w:type="spellEnd"/>
      <w:r w:rsidR="00A54338" w:rsidRPr="00A54338">
        <w:rPr>
          <w:sz w:val="28"/>
        </w:rPr>
        <w:t>. 9,15, 74 Регламента Совета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30.06.2015г. № 3-17/36з, учитывая решение Совета городского округа город Стерлитамак от 22.12.2020 года № 5-8/5з, постановления Президиума Совета городского округа город Стерлитамак Республики Башкортостан от 07.12.2020 года № 5-1/2 и от 08.12.2020 года № 5-2/2, Совет городского округа город Стерлитамак Республики Башкортостан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CC3371">
        <w:rPr>
          <w:sz w:val="28"/>
        </w:rPr>
        <w:t xml:space="preserve"> </w:t>
      </w:r>
      <w:r w:rsidR="00A54338">
        <w:rPr>
          <w:sz w:val="28"/>
          <w:szCs w:val="28"/>
          <w:lang w:val="en-US"/>
        </w:rPr>
        <w:t>II</w:t>
      </w:r>
      <w:r w:rsidR="00A54338">
        <w:rPr>
          <w:sz w:val="28"/>
          <w:szCs w:val="28"/>
        </w:rPr>
        <w:t xml:space="preserve"> полугодие </w:t>
      </w:r>
      <w:r w:rsidR="00F31C82">
        <w:rPr>
          <w:sz w:val="28"/>
        </w:rPr>
        <w:t>20</w:t>
      </w:r>
      <w:r w:rsidR="00E44BDB">
        <w:rPr>
          <w:sz w:val="28"/>
        </w:rPr>
        <w:t>21</w:t>
      </w:r>
      <w:r>
        <w:rPr>
          <w:sz w:val="28"/>
        </w:rPr>
        <w:t xml:space="preserve"> год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proofErr w:type="spellStart"/>
      <w:r w:rsidR="00E44BDB">
        <w:rPr>
          <w:sz w:val="28"/>
          <w:szCs w:val="28"/>
        </w:rPr>
        <w:t>С.В.Бойков</w:t>
      </w:r>
      <w:proofErr w:type="spellEnd"/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D200A" w:rsidRPr="00B93DBA" w:rsidRDefault="00E32E59" w:rsidP="00A10071">
      <w:pPr>
        <w:ind w:left="5954"/>
        <w:rPr>
          <w:b/>
        </w:rPr>
      </w:pPr>
      <w:r w:rsidRPr="00B93DBA">
        <w:rPr>
          <w:b/>
        </w:rPr>
        <w:lastRenderedPageBreak/>
        <w:t>Утвержден решением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A10071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752CF">
        <w:rPr>
          <w:b/>
        </w:rPr>
        <w:t>__________</w:t>
      </w:r>
      <w:r w:rsidR="00FD200A" w:rsidRPr="00B93DBA">
        <w:rPr>
          <w:b/>
        </w:rPr>
        <w:t xml:space="preserve"> № </w:t>
      </w:r>
      <w:r w:rsidR="006752CF">
        <w:rPr>
          <w:b/>
        </w:rPr>
        <w:t>__________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Pr="00B93DB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631979">
        <w:rPr>
          <w:sz w:val="28"/>
          <w:szCs w:val="28"/>
        </w:rPr>
        <w:t xml:space="preserve"> </w:t>
      </w:r>
      <w:r w:rsidR="00A54338">
        <w:rPr>
          <w:sz w:val="28"/>
          <w:szCs w:val="28"/>
          <w:lang w:val="en-US"/>
        </w:rPr>
        <w:t>II</w:t>
      </w:r>
      <w:r w:rsidR="00A54338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</w:t>
      </w:r>
      <w:r w:rsidR="00B914B1">
        <w:rPr>
          <w:sz w:val="28"/>
          <w:szCs w:val="28"/>
        </w:rPr>
        <w:t>2</w:t>
      </w:r>
      <w:r w:rsidR="00E44BDB">
        <w:rPr>
          <w:sz w:val="28"/>
          <w:szCs w:val="28"/>
        </w:rPr>
        <w:t>1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693"/>
        <w:gridCol w:w="1843"/>
      </w:tblGrid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E4300B" w:rsidRDefault="00E44BDB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3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августа,</w:t>
            </w:r>
          </w:p>
          <w:p w:rsidR="00BB3B05" w:rsidRPr="00E4300B" w:rsidRDefault="00E44BDB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5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октября,</w:t>
            </w:r>
          </w:p>
          <w:p w:rsidR="00BB3B05" w:rsidRPr="00E4300B" w:rsidRDefault="00653F2F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24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BB3B05" w:rsidRPr="00160B43" w:rsidRDefault="00BB3B05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E4300B">
              <w:rPr>
                <w:rFonts w:ascii="TNRCyrBash" w:hAnsi="TNRCyrBash"/>
                <w:szCs w:val="28"/>
                <w:lang w:eastAsia="en-US"/>
              </w:rPr>
              <w:t>30 декабря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BB3B05" w:rsidRPr="00160B43" w:rsidTr="00A83FD5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423D8A">
                  <w:pPr>
                    <w:spacing w:line="276" w:lineRule="auto"/>
                    <w:ind w:left="-216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BB3B05" w:rsidRPr="00160B43" w:rsidRDefault="00BB3B05" w:rsidP="00BB3B05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BB3B05" w:rsidRPr="00160B43" w:rsidTr="00A83FD5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BB3B05" w:rsidRPr="00160B43" w:rsidRDefault="00BB3B05" w:rsidP="00BB3B0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 w:rsidR="00423D8A">
              <w:rPr>
                <w:szCs w:val="28"/>
                <w:lang w:eastAsia="en-US"/>
              </w:rPr>
              <w:t xml:space="preserve"> Республики Башкортостан за 2020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</w:t>
            </w:r>
            <w:r w:rsidR="00653F2F">
              <w:rPr>
                <w:szCs w:val="28"/>
                <w:lang w:eastAsia="en-US"/>
              </w:rPr>
              <w:t>я</w:t>
            </w:r>
            <w:r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 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Зиганшина</w:t>
            </w:r>
            <w:proofErr w:type="spellEnd"/>
            <w:r>
              <w:rPr>
                <w:szCs w:val="28"/>
                <w:lang w:eastAsia="en-US"/>
              </w:rPr>
              <w:t xml:space="preserve"> Г.Р.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</w:t>
            </w:r>
            <w:r>
              <w:rPr>
                <w:szCs w:val="28"/>
                <w:lang w:eastAsia="en-US"/>
              </w:rPr>
              <w:t xml:space="preserve"> на 202</w:t>
            </w:r>
            <w:r w:rsidR="00423D8A">
              <w:rPr>
                <w:szCs w:val="28"/>
                <w:lang w:eastAsia="en-US"/>
              </w:rPr>
              <w:t>2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</w:t>
            </w:r>
            <w:r w:rsidR="00653F2F">
              <w:rPr>
                <w:szCs w:val="28"/>
                <w:lang w:eastAsia="en-US"/>
              </w:rPr>
              <w:t>я</w:t>
            </w:r>
            <w:r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A54338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A54338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A54338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5.2</w:t>
            </w:r>
            <w:r w:rsidR="00BB3B05"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A54338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</w:t>
            </w:r>
            <w:r w:rsidR="00BB3B05"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</w:t>
            </w:r>
            <w:r w:rsidRPr="00160B43">
              <w:rPr>
                <w:szCs w:val="28"/>
                <w:lang w:eastAsia="en-US"/>
              </w:rPr>
              <w:lastRenderedPageBreak/>
              <w:t xml:space="preserve">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По особому </w:t>
            </w:r>
            <w:r w:rsidRPr="00160B43">
              <w:rPr>
                <w:szCs w:val="28"/>
                <w:lang w:eastAsia="en-US"/>
              </w:rPr>
              <w:lastRenderedPageBreak/>
              <w:t>плану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«прямых телефонов»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  <w:r>
              <w:rPr>
                <w:szCs w:val="28"/>
                <w:lang w:eastAsia="en-US"/>
              </w:rPr>
              <w:t xml:space="preserve"> </w:t>
            </w:r>
            <w:r w:rsidRPr="00160B43">
              <w:rPr>
                <w:szCs w:val="28"/>
                <w:lang w:eastAsia="en-US"/>
              </w:rPr>
              <w:t>отчетов перед избирателями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</w:t>
            </w:r>
            <w:r w:rsidR="00A54338">
              <w:rPr>
                <w:szCs w:val="28"/>
                <w:lang w:eastAsia="en-US"/>
              </w:rPr>
              <w:t>5.</w:t>
            </w:r>
            <w:r w:rsidRPr="00160B43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  <w:r w:rsidR="00A54338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депутатов в мероприятиях, посвященных 76-летию годовщины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A54338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Начало декабря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A54338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  <w:r w:rsidR="00167866">
              <w:rPr>
                <w:szCs w:val="28"/>
                <w:lang w:eastAsia="en-US"/>
              </w:rPr>
              <w:t>, распоряжений главы городского окрга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в течение </w:t>
            </w:r>
            <w:r>
              <w:rPr>
                <w:szCs w:val="28"/>
                <w:lang w:eastAsia="en-US"/>
              </w:rPr>
              <w:t>7</w:t>
            </w:r>
            <w:r w:rsidRPr="00160B43">
              <w:rPr>
                <w:szCs w:val="28"/>
                <w:lang w:eastAsia="en-US"/>
              </w:rPr>
              <w:t xml:space="preserve"> дней после подписания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2021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A54338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11.2</w:t>
            </w:r>
            <w:r w:rsidR="00653F2F"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A54338">
              <w:rPr>
                <w:szCs w:val="28"/>
                <w:lang w:eastAsia="en-US"/>
              </w:rPr>
              <w:t>3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A54338">
              <w:rPr>
                <w:szCs w:val="28"/>
                <w:lang w:eastAsia="en-US"/>
              </w:rPr>
              <w:t>4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A54338">
              <w:rPr>
                <w:szCs w:val="28"/>
                <w:lang w:eastAsia="en-US"/>
              </w:rPr>
              <w:t>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A54338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11.6</w:t>
            </w:r>
            <w:r w:rsidR="00653F2F"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A54338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A54338">
              <w:rPr>
                <w:szCs w:val="28"/>
                <w:lang w:eastAsia="en-US"/>
              </w:rPr>
              <w:t>7</w:t>
            </w:r>
            <w:bookmarkStart w:id="0" w:name="_GoBack"/>
            <w:bookmarkEnd w:id="0"/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27F57"/>
    <w:rsid w:val="00077280"/>
    <w:rsid w:val="00082D67"/>
    <w:rsid w:val="00092910"/>
    <w:rsid w:val="000C03DF"/>
    <w:rsid w:val="000E5C78"/>
    <w:rsid w:val="00104CCD"/>
    <w:rsid w:val="00115A62"/>
    <w:rsid w:val="0013029F"/>
    <w:rsid w:val="00136E29"/>
    <w:rsid w:val="00141043"/>
    <w:rsid w:val="0015793A"/>
    <w:rsid w:val="00167866"/>
    <w:rsid w:val="0017723D"/>
    <w:rsid w:val="001B258F"/>
    <w:rsid w:val="001D1A9D"/>
    <w:rsid w:val="002032A5"/>
    <w:rsid w:val="0020346B"/>
    <w:rsid w:val="002D44FA"/>
    <w:rsid w:val="00314544"/>
    <w:rsid w:val="00364491"/>
    <w:rsid w:val="003A4AD4"/>
    <w:rsid w:val="003E53A6"/>
    <w:rsid w:val="003F089F"/>
    <w:rsid w:val="004140AD"/>
    <w:rsid w:val="004233BD"/>
    <w:rsid w:val="00423D8A"/>
    <w:rsid w:val="00473B8C"/>
    <w:rsid w:val="00477C94"/>
    <w:rsid w:val="004B2B21"/>
    <w:rsid w:val="00585416"/>
    <w:rsid w:val="0059713E"/>
    <w:rsid w:val="005A40F2"/>
    <w:rsid w:val="005B10EC"/>
    <w:rsid w:val="005C077D"/>
    <w:rsid w:val="005C50BB"/>
    <w:rsid w:val="00631979"/>
    <w:rsid w:val="00653F2F"/>
    <w:rsid w:val="00660855"/>
    <w:rsid w:val="006752CF"/>
    <w:rsid w:val="006A5476"/>
    <w:rsid w:val="006B1D7A"/>
    <w:rsid w:val="006E419C"/>
    <w:rsid w:val="0074076E"/>
    <w:rsid w:val="00742B35"/>
    <w:rsid w:val="00753482"/>
    <w:rsid w:val="0075484C"/>
    <w:rsid w:val="00764B50"/>
    <w:rsid w:val="007710AA"/>
    <w:rsid w:val="00774E64"/>
    <w:rsid w:val="007B2FFE"/>
    <w:rsid w:val="00821DCD"/>
    <w:rsid w:val="008279E6"/>
    <w:rsid w:val="00833F71"/>
    <w:rsid w:val="00840AA6"/>
    <w:rsid w:val="00851902"/>
    <w:rsid w:val="00852D5E"/>
    <w:rsid w:val="008726DB"/>
    <w:rsid w:val="008765C0"/>
    <w:rsid w:val="008C3B7D"/>
    <w:rsid w:val="008D76A0"/>
    <w:rsid w:val="00920075"/>
    <w:rsid w:val="009355F5"/>
    <w:rsid w:val="00965A26"/>
    <w:rsid w:val="009707E4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4338"/>
    <w:rsid w:val="00A56C93"/>
    <w:rsid w:val="00A93C74"/>
    <w:rsid w:val="00A967F4"/>
    <w:rsid w:val="00AA202C"/>
    <w:rsid w:val="00AD506D"/>
    <w:rsid w:val="00AD637B"/>
    <w:rsid w:val="00B331F6"/>
    <w:rsid w:val="00B914B1"/>
    <w:rsid w:val="00B93DBA"/>
    <w:rsid w:val="00BA2E67"/>
    <w:rsid w:val="00BB3B05"/>
    <w:rsid w:val="00BB7D1D"/>
    <w:rsid w:val="00BC690E"/>
    <w:rsid w:val="00BD4AEC"/>
    <w:rsid w:val="00BE3F7F"/>
    <w:rsid w:val="00BF1571"/>
    <w:rsid w:val="00C2599F"/>
    <w:rsid w:val="00C26514"/>
    <w:rsid w:val="00C53E7F"/>
    <w:rsid w:val="00C66845"/>
    <w:rsid w:val="00C67DD9"/>
    <w:rsid w:val="00C96200"/>
    <w:rsid w:val="00CB5583"/>
    <w:rsid w:val="00CC3371"/>
    <w:rsid w:val="00D319B8"/>
    <w:rsid w:val="00DE0E25"/>
    <w:rsid w:val="00DF051C"/>
    <w:rsid w:val="00E32E59"/>
    <w:rsid w:val="00E44BDB"/>
    <w:rsid w:val="00E51585"/>
    <w:rsid w:val="00E801A6"/>
    <w:rsid w:val="00E916E2"/>
    <w:rsid w:val="00EE1D87"/>
    <w:rsid w:val="00F018D9"/>
    <w:rsid w:val="00F06402"/>
    <w:rsid w:val="00F31C82"/>
    <w:rsid w:val="00F3474C"/>
    <w:rsid w:val="00F40829"/>
    <w:rsid w:val="00F43D37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AC96-13EF-4FB9-AC02-3492EA6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2775-D4A3-4FAF-8D21-867225BB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41</cp:revision>
  <cp:lastPrinted>2020-12-10T06:24:00Z</cp:lastPrinted>
  <dcterms:created xsi:type="dcterms:W3CDTF">2013-12-27T06:37:00Z</dcterms:created>
  <dcterms:modified xsi:type="dcterms:W3CDTF">2021-05-12T06:54:00Z</dcterms:modified>
</cp:coreProperties>
</file>